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67C0F" w:rsidR="00C67C0F" w:rsidP="00C67C0F" w:rsidRDefault="00C67C0F" w14:paraId="4485C1A4" w14:textId="32B8D600">
      <w:pPr>
        <w:pStyle w:val="Titre1"/>
        <w:spacing w:line="360" w:lineRule="auto"/>
        <w:contextualSpacing/>
        <w:jc w:val="left"/>
        <w:rPr>
          <w:rFonts w:ascii="Arial" w:hAnsi="Arial" w:cs="Arial"/>
          <w:b w:val="0"/>
          <w:bCs/>
          <w:color w:val="000000" w:themeColor="text1"/>
          <w:sz w:val="26"/>
          <w:szCs w:val="26"/>
        </w:rPr>
      </w:pPr>
      <w:r w:rsidRPr="00C67C0F">
        <w:rPr>
          <w:rFonts w:ascii="Arial" w:hAnsi="Arial" w:cs="Arial"/>
          <w:bCs/>
          <w:color w:val="000000" w:themeColor="text1"/>
          <w:sz w:val="26"/>
          <w:szCs w:val="26"/>
        </w:rPr>
        <w:t xml:space="preserve">Test de </w:t>
      </w:r>
      <w:r w:rsidR="00921B94">
        <w:rPr>
          <w:rFonts w:ascii="Arial" w:hAnsi="Arial" w:cs="Arial"/>
          <w:bCs/>
          <w:color w:val="000000" w:themeColor="text1"/>
          <w:sz w:val="26"/>
          <w:szCs w:val="26"/>
        </w:rPr>
        <w:t>rédaction</w:t>
      </w:r>
      <w:r w:rsidRPr="00C67C0F">
        <w:rPr>
          <w:rFonts w:ascii="Arial" w:hAnsi="Arial" w:cs="Arial"/>
          <w:bCs/>
          <w:color w:val="000000" w:themeColor="text1"/>
          <w:sz w:val="26"/>
          <w:szCs w:val="26"/>
        </w:rPr>
        <w:t xml:space="preserve"> – Lot </w:t>
      </w:r>
      <w:r w:rsidR="00921B94">
        <w:rPr>
          <w:rFonts w:ascii="Arial" w:hAnsi="Arial" w:cs="Arial"/>
          <w:bCs/>
          <w:color w:val="000000" w:themeColor="text1"/>
          <w:sz w:val="26"/>
          <w:szCs w:val="26"/>
        </w:rPr>
        <w:t>1</w:t>
      </w:r>
    </w:p>
    <w:p w:rsidRPr="007D246C" w:rsidR="00C67C0F" w:rsidP="00C67C0F" w:rsidRDefault="00C67C0F" w14:paraId="5A628386" w14:textId="77777777">
      <w:pPr>
        <w:pStyle w:val="Standard"/>
        <w:spacing w:after="0"/>
        <w:contextualSpacing/>
      </w:pPr>
      <w:r w:rsidRPr="007D246C">
        <w:br/>
      </w:r>
      <w:r w:rsidRPr="007D246C">
        <w:rPr>
          <w:b/>
          <w:bCs/>
        </w:rPr>
        <w:t>Consignes</w:t>
      </w:r>
      <w:r w:rsidRPr="007D246C">
        <w:t xml:space="preserve"> : </w:t>
      </w:r>
    </w:p>
    <w:p w:rsidRPr="007D246C" w:rsidR="00C67C0F" w:rsidP="00C67C0F" w:rsidRDefault="00C67C0F" w14:paraId="105C8872" w14:textId="77777777">
      <w:pPr>
        <w:pStyle w:val="Standard"/>
        <w:spacing w:after="0"/>
        <w:contextualSpacing/>
      </w:pPr>
    </w:p>
    <w:p w:rsidR="00DD709C" w:rsidP="00C67C0F" w:rsidRDefault="00C67C0F" w14:paraId="18B32D3A" w14:textId="63EF62F9">
      <w:pPr>
        <w:pStyle w:val="Standard"/>
        <w:spacing w:after="0"/>
        <w:contextualSpacing/>
      </w:pPr>
      <w:r w:rsidRPr="007D246C">
        <w:t xml:space="preserve">Vous êtes chargé d’effectuer la </w:t>
      </w:r>
      <w:r w:rsidR="00EF7BA5">
        <w:t xml:space="preserve">réécriture du texte ci-dessous en vue d’une publication dans </w:t>
      </w:r>
      <w:r w:rsidRPr="00DD709C" w:rsidR="00EF7BA5">
        <w:rPr>
          <w:i/>
          <w:iCs/>
        </w:rPr>
        <w:t>L</w:t>
      </w:r>
      <w:r w:rsidR="00DD709C">
        <w:rPr>
          <w:i/>
          <w:iCs/>
        </w:rPr>
        <w:t>a</w:t>
      </w:r>
      <w:r w:rsidRPr="00DD709C" w:rsidR="00EF7BA5">
        <w:rPr>
          <w:i/>
          <w:iCs/>
        </w:rPr>
        <w:t xml:space="preserve"> lettre de l’Ocim</w:t>
      </w:r>
      <w:r w:rsidR="00DD709C">
        <w:t>.</w:t>
      </w:r>
    </w:p>
    <w:p w:rsidR="00DD709C" w:rsidP="00C67C0F" w:rsidRDefault="00DD709C" w14:paraId="30E5EEE3" w14:textId="77777777">
      <w:pPr>
        <w:pStyle w:val="Standard"/>
        <w:spacing w:after="0"/>
        <w:contextualSpacing/>
      </w:pPr>
    </w:p>
    <w:p w:rsidR="00C67C0F" w:rsidP="0E620A03" w:rsidRDefault="00DD709C" w14:paraId="48EB2BF2" w14:textId="693C5D51">
      <w:pPr>
        <w:pStyle w:val="Standard"/>
        <w:spacing w:after="0"/>
        <w:contextualSpacing w:val="1"/>
      </w:pPr>
      <w:r w:rsidR="00DD709C">
        <w:rPr/>
        <w:t>L’article, adapté au lectorat de la revue, devra être réduit à 6</w:t>
      </w:r>
      <w:r w:rsidR="24DB2F9F">
        <w:rPr/>
        <w:t xml:space="preserve"> </w:t>
      </w:r>
      <w:r w:rsidR="00DD709C">
        <w:rPr/>
        <w:t>000 signes espaces comprises maximum (</w:t>
      </w:r>
      <w:r w:rsidR="00DD709C">
        <w:rPr/>
        <w:t>hors</w:t>
      </w:r>
      <w:r w:rsidR="00DD709C">
        <w:rPr/>
        <w:t xml:space="preserve"> éventuel appareil critique), et comporter chapô et </w:t>
      </w:r>
      <w:r w:rsidR="00DD709C">
        <w:rPr/>
        <w:t>titraille originaux</w:t>
      </w:r>
      <w:r w:rsidR="00DD709C">
        <w:rPr/>
        <w:t>.</w:t>
      </w:r>
    </w:p>
    <w:p w:rsidR="00921B94" w:rsidP="00C67C0F" w:rsidRDefault="00921B94" w14:paraId="0C10C1E3" w14:textId="77777777">
      <w:pPr>
        <w:pStyle w:val="Standard"/>
        <w:spacing w:after="0"/>
        <w:contextualSpacing/>
      </w:pPr>
    </w:p>
    <w:p w:rsidRPr="007D246C" w:rsidR="00921B94" w:rsidP="00C67C0F" w:rsidRDefault="00921B94" w14:paraId="42006753" w14:textId="320F3DD8">
      <w:pPr>
        <w:pStyle w:val="Standard"/>
        <w:spacing w:after="0"/>
        <w:contextualSpacing/>
      </w:pPr>
      <w:r>
        <w:t>Vous êtes libre de modifier la structure du texte, le style, le ton, le vocabulaire, etc.</w:t>
      </w:r>
    </w:p>
    <w:p w:rsidRPr="007D246C" w:rsidR="00C67C0F" w:rsidP="00C67C0F" w:rsidRDefault="00C67C0F" w14:paraId="0101B50A" w14:textId="77777777">
      <w:pPr>
        <w:pStyle w:val="Standard"/>
        <w:spacing w:after="0"/>
        <w:contextualSpacing/>
      </w:pPr>
    </w:p>
    <w:p w:rsidR="00C67C0F" w:rsidP="00C67C0F" w:rsidRDefault="00DD709C" w14:paraId="25B3CD98" w14:textId="55E2E1DA">
      <w:pPr>
        <w:pStyle w:val="Standard"/>
        <w:spacing w:after="0"/>
        <w:contextualSpacing/>
      </w:pPr>
      <w:r>
        <w:t>Pour information, l</w:t>
      </w:r>
      <w:r w:rsidRPr="007D246C" w:rsidR="00C67C0F">
        <w:t>a rédaction suit les recommandations ortho-typographique</w:t>
      </w:r>
      <w:r w:rsidR="00C67C0F">
        <w:t>s</w:t>
      </w:r>
      <w:r w:rsidRPr="007D246C" w:rsidR="00C67C0F">
        <w:t xml:space="preserve"> de l’Imprimerie nationale</w:t>
      </w:r>
      <w:r>
        <w:t xml:space="preserve"> et elle n’admet p</w:t>
      </w:r>
      <w:r w:rsidRPr="007D246C" w:rsidR="00C67C0F">
        <w:t xml:space="preserve">as </w:t>
      </w:r>
      <w:r>
        <w:t>l</w:t>
      </w:r>
      <w:r w:rsidRPr="007D246C" w:rsidR="00C67C0F">
        <w:t>’écriture inclusive.</w:t>
      </w:r>
    </w:p>
    <w:p w:rsidRPr="007D246C" w:rsidR="00DD709C" w:rsidP="00C67C0F" w:rsidRDefault="00DD709C" w14:paraId="0BF19F06" w14:textId="77777777">
      <w:pPr>
        <w:pStyle w:val="Standard"/>
        <w:spacing w:after="0"/>
        <w:contextualSpacing/>
      </w:pPr>
    </w:p>
    <w:p w:rsidR="00C67C0F" w:rsidRDefault="00C67C0F" w14:paraId="7D5952E7" w14:textId="77777777">
      <w:pPr>
        <w:pBdr>
          <w:bottom w:val="single" w:color="auto" w:sz="12" w:space="1"/>
        </w:pBdr>
        <w:jc w:val="both"/>
        <w:rPr>
          <w:b/>
          <w:sz w:val="22"/>
          <w:szCs w:val="22"/>
        </w:rPr>
      </w:pPr>
    </w:p>
    <w:p w:rsidR="00DD709C" w:rsidRDefault="00DD709C" w14:paraId="1803172D" w14:textId="77777777">
      <w:pPr>
        <w:jc w:val="both"/>
        <w:rPr>
          <w:b/>
          <w:sz w:val="22"/>
          <w:szCs w:val="22"/>
        </w:rPr>
      </w:pPr>
    </w:p>
    <w:p w:rsidR="00921B94" w:rsidRDefault="00921B94" w14:paraId="4A93601F" w14:textId="77777777">
      <w:pPr>
        <w:jc w:val="both"/>
        <w:rPr>
          <w:b/>
          <w:sz w:val="22"/>
          <w:szCs w:val="22"/>
        </w:rPr>
      </w:pPr>
    </w:p>
    <w:p w:rsidR="00782C4C" w:rsidRDefault="00D20609" w14:paraId="00000001" w14:textId="77F69A89">
      <w:pPr>
        <w:jc w:val="both"/>
        <w:rPr>
          <w:b/>
          <w:sz w:val="22"/>
          <w:szCs w:val="22"/>
        </w:rPr>
      </w:pPr>
      <w:r>
        <w:rPr>
          <w:b/>
          <w:sz w:val="22"/>
          <w:szCs w:val="22"/>
        </w:rPr>
        <w:t>Le Muséum de Neuchâtel : Un Appel à la Réflexion</w:t>
      </w:r>
    </w:p>
    <w:p w:rsidR="00782C4C" w:rsidRDefault="00D20609" w14:paraId="00000002" w14:textId="77777777">
      <w:pPr>
        <w:jc w:val="both"/>
        <w:rPr>
          <w:sz w:val="22"/>
          <w:szCs w:val="22"/>
        </w:rPr>
      </w:pPr>
      <w:r>
        <w:rPr>
          <w:sz w:val="22"/>
          <w:szCs w:val="22"/>
        </w:rPr>
        <w:t xml:space="preserve"> </w:t>
      </w:r>
    </w:p>
    <w:p w:rsidR="00782C4C" w:rsidRDefault="00D20609" w14:paraId="00000003" w14:textId="77777777">
      <w:pPr>
        <w:spacing w:after="240"/>
        <w:jc w:val="both"/>
        <w:rPr>
          <w:sz w:val="22"/>
          <w:szCs w:val="22"/>
        </w:rPr>
      </w:pPr>
      <w:r>
        <w:rPr>
          <w:sz w:val="22"/>
          <w:szCs w:val="22"/>
        </w:rPr>
        <w:t>À l’occasion du transfert de ses collections vers un nouveau Pôle muséal, le Muséum se dévoile et propose, à travers l'exposition temporaire « Emballe-moi</w:t>
      </w:r>
      <w:r>
        <w:rPr>
          <w:sz w:val="22"/>
          <w:szCs w:val="22"/>
          <w:vertAlign w:val="superscript"/>
        </w:rPr>
        <w:footnoteReference w:id="1"/>
      </w:r>
      <w:r>
        <w:rPr>
          <w:sz w:val="22"/>
          <w:szCs w:val="22"/>
        </w:rPr>
        <w:t xml:space="preserve"> », une plongée dans son histoire, ses métiers et ses missions. Dès l’entrée, l’exposition met en lumière les articles du code de déontologie de l'ICOM. Ce geste marque la volonté de l’institution d’affirmer publiquement et avec conviction les valeurs et principes qu’elle applique. Le Muséum de Neuchâtel se distingue par une voie originale dans le paysage muséal francophone, en adoptant une approche à la fois engagée et nuancée sur les questions sensibles liées à ses collections. Son directeur précise cette</w:t>
      </w:r>
      <w:r>
        <w:rPr>
          <w:sz w:val="22"/>
          <w:szCs w:val="22"/>
        </w:rPr>
        <w:t xml:space="preserve"> ligne directrice adoptée depuis plusieurs années, caractérisant l’institution comme un "musée décomplexé", qui s’attache à remplir son rôle avec sérieux tout en cherchant à désacraliser la relation au savoir et à la science.</w:t>
      </w:r>
    </w:p>
    <w:p w:rsidR="00782C4C" w:rsidP="01EAA08F" w:rsidRDefault="00D20609" w14:paraId="00000004" w14:textId="77777777">
      <w:pPr>
        <w:spacing w:before="240" w:after="240"/>
        <w:jc w:val="both"/>
        <w:rPr>
          <w:sz w:val="22"/>
          <w:szCs w:val="22"/>
          <w:lang w:val="fr-FR"/>
        </w:rPr>
      </w:pPr>
      <w:r w:rsidRPr="01EAA08F">
        <w:rPr>
          <w:sz w:val="22"/>
          <w:szCs w:val="22"/>
          <w:lang w:val="fr-FR"/>
        </w:rPr>
        <w:t>Ludovic Maggioni précise “</w:t>
      </w:r>
      <w:r w:rsidRPr="01EAA08F">
        <w:rPr>
          <w:i/>
          <w:iCs/>
          <w:sz w:val="22"/>
          <w:szCs w:val="22"/>
          <w:lang w:val="fr-FR"/>
        </w:rPr>
        <w:t>Au cœur de cette démarche se trouve la volonté de mettre en culture “l 'anthropocène”. Il s’agit de repenser la place des humains et des non-humains dans notre société</w:t>
      </w:r>
      <w:r w:rsidRPr="01EAA08F">
        <w:rPr>
          <w:sz w:val="22"/>
          <w:szCs w:val="22"/>
          <w:lang w:val="fr-FR"/>
        </w:rPr>
        <w:t>”. Le musée cherche à donner une voix et une dignité aux animaux naturalisés qui constituent ses collections, tout en interrogeant le statut changeant de ces spécimens au fil du temps. Cette réflexion invite à dépasser le dualisme entre patrimoine naturel et patrimoine culturel, afin d’explorer de nouvelles façons d’appréhender nos relations a</w:t>
      </w:r>
      <w:r w:rsidRPr="01EAA08F">
        <w:rPr>
          <w:sz w:val="22"/>
          <w:szCs w:val="22"/>
          <w:lang w:val="fr-FR"/>
        </w:rPr>
        <w:t>u monde. Dans un contexte où il devient plus que jamais crucial de repenser notre rapport à notre planète, cette approche propose de questionner nos perceptions du vivant et de renouveler notre manière de comprendre les interactions avec notre environnement.</w:t>
      </w:r>
    </w:p>
    <w:p w:rsidR="00782C4C" w:rsidRDefault="00D20609" w14:paraId="00000005" w14:textId="77777777">
      <w:pPr>
        <w:spacing w:before="240" w:after="240"/>
        <w:jc w:val="both"/>
        <w:rPr>
          <w:sz w:val="22"/>
          <w:szCs w:val="22"/>
        </w:rPr>
      </w:pPr>
      <w:r>
        <w:rPr>
          <w:sz w:val="22"/>
          <w:szCs w:val="22"/>
        </w:rPr>
        <w:t>Dans cette perspective, le Muséum de Neuchâtel n'hésite pas à jouer avec les codes conventionnels. Cette approche se traduit par des choix muséographiques, comme le fait de remercier les animaux naturalisés dans les génériques d'exposition ou d'installer un lièvre naturalisé assis dans l'auditorium pour représenter symboliquement la place des non-humains dans le public. Le musée embrasse ainsi pleinement sa part de réflexion critique et d’interrogation sur ces enjeux.</w:t>
      </w:r>
    </w:p>
    <w:p w:rsidR="00782C4C" w:rsidP="01EAA08F" w:rsidRDefault="00D20609" w14:paraId="00000006" w14:textId="77777777">
      <w:pPr>
        <w:spacing w:before="240" w:after="240"/>
        <w:jc w:val="both"/>
        <w:rPr>
          <w:sz w:val="22"/>
          <w:szCs w:val="22"/>
          <w:lang w:val="fr-FR"/>
        </w:rPr>
      </w:pPr>
      <w:r w:rsidRPr="01EAA08F">
        <w:rPr>
          <w:sz w:val="22"/>
          <w:szCs w:val="22"/>
          <w:lang w:val="fr-FR"/>
        </w:rPr>
        <w:t>Ludovic Maggioni précise bien : “</w:t>
      </w:r>
      <w:r w:rsidRPr="01EAA08F">
        <w:rPr>
          <w:i/>
          <w:iCs/>
          <w:sz w:val="22"/>
          <w:szCs w:val="22"/>
          <w:lang w:val="fr-FR"/>
        </w:rPr>
        <w:t>Nous n’avons pas toutes les réponses… On souhaite éviter les écueils d'un discours moralisateur. On préfère privilégier une approche qui laisse place à l'imaginaire et aux émotions, sans craindre l'absurde ou les paradoxes</w:t>
      </w:r>
      <w:r w:rsidRPr="01EAA08F">
        <w:rPr>
          <w:sz w:val="22"/>
          <w:szCs w:val="22"/>
          <w:lang w:val="fr-FR"/>
        </w:rPr>
        <w:t>”. L'objectif est moins de transmettre des connaissances figées que de stimuler la curiosité et l'autonomie des publics</w:t>
      </w:r>
      <w:r w:rsidRPr="01EAA08F">
        <w:rPr>
          <w:sz w:val="16"/>
          <w:szCs w:val="16"/>
          <w:lang w:val="fr-FR"/>
        </w:rPr>
        <w:t xml:space="preserve"> </w:t>
      </w:r>
      <w:r w:rsidRPr="01EAA08F">
        <w:rPr>
          <w:sz w:val="22"/>
          <w:szCs w:val="22"/>
          <w:lang w:val="fr-FR"/>
        </w:rPr>
        <w:t>dans sa compréhension du monde.</w:t>
      </w:r>
    </w:p>
    <w:p w:rsidR="00782C4C" w:rsidRDefault="00D20609" w14:paraId="00000007" w14:textId="77777777">
      <w:pPr>
        <w:spacing w:after="240"/>
        <w:jc w:val="both"/>
        <w:rPr>
          <w:b/>
          <w:sz w:val="22"/>
          <w:szCs w:val="22"/>
        </w:rPr>
      </w:pPr>
      <w:r>
        <w:rPr>
          <w:b/>
          <w:sz w:val="22"/>
          <w:szCs w:val="22"/>
        </w:rPr>
        <w:t>Entre Héritage Colonial et Engagement Critique</w:t>
      </w:r>
    </w:p>
    <w:p w:rsidR="00782C4C" w:rsidRDefault="00D20609" w14:paraId="00000008" w14:textId="77777777">
      <w:pPr>
        <w:jc w:val="both"/>
        <w:rPr>
          <w:sz w:val="16"/>
          <w:szCs w:val="16"/>
        </w:rPr>
      </w:pPr>
      <w:r>
        <w:rPr>
          <w:sz w:val="22"/>
          <w:szCs w:val="22"/>
        </w:rPr>
        <w:t>Les musées occidentaux incarnent l’autorité du savoir et transmettent un certain récit culturel. Considérée pendant des années comme un État en marge du système impérial européen, la Suisse a longtemps dissimulé son implication dans le colonialisme. Ce n’est qu’à la fin du XXe siècle que plusieurs recherches ont mis en évidence la participation du pays à l’entreprise coloniale européenne</w:t>
      </w:r>
      <w:r>
        <w:rPr>
          <w:sz w:val="22"/>
          <w:szCs w:val="22"/>
          <w:vertAlign w:val="superscript"/>
        </w:rPr>
        <w:footnoteReference w:id="2"/>
      </w:r>
      <w:r>
        <w:rPr>
          <w:sz w:val="22"/>
          <w:szCs w:val="22"/>
        </w:rPr>
        <w:t>.</w:t>
      </w:r>
    </w:p>
    <w:p w:rsidR="00782C4C" w:rsidRDefault="00D20609" w14:paraId="00000009" w14:textId="77777777">
      <w:pPr>
        <w:jc w:val="both"/>
        <w:rPr>
          <w:sz w:val="22"/>
          <w:szCs w:val="22"/>
        </w:rPr>
      </w:pPr>
      <w:r>
        <w:rPr>
          <w:sz w:val="22"/>
          <w:szCs w:val="22"/>
        </w:rPr>
        <w:t xml:space="preserve"> </w:t>
      </w:r>
    </w:p>
    <w:p w:rsidR="00782C4C" w:rsidRDefault="00D20609" w14:paraId="0000000A" w14:textId="77777777">
      <w:pPr>
        <w:jc w:val="both"/>
        <w:rPr>
          <w:sz w:val="22"/>
          <w:szCs w:val="22"/>
        </w:rPr>
      </w:pPr>
      <w:r>
        <w:rPr>
          <w:sz w:val="22"/>
          <w:szCs w:val="22"/>
        </w:rPr>
        <w:t>Dès les XVIIe et XVIIIe siècles, des Suisses ont participé aux projets coloniaux des grandes puissances impériales, en tant que militaires, marchands, missionnaires, administrateurs et investisseurs. L'intérêt pour ce passé colonial a émergé dans les années 2000. Les historiens ont proposé le concept de "colonialisme sans colonies</w:t>
      </w:r>
      <w:r>
        <w:rPr>
          <w:sz w:val="16"/>
          <w:szCs w:val="16"/>
          <w:vertAlign w:val="superscript"/>
        </w:rPr>
        <w:footnoteReference w:id="3"/>
      </w:r>
      <w:r>
        <w:rPr>
          <w:sz w:val="22"/>
          <w:szCs w:val="22"/>
        </w:rPr>
        <w:t xml:space="preserve">". Ces études ont notamment examiné dans quelle mesure la prospérité suisse et l'émergence d'industries clés comme le chocolat, la pharmacie ou la banque étaient complètement liées à cette histoire coloniale. L’image de l'État suisse hors du système impérial était dès lors remis en cause. </w:t>
      </w:r>
    </w:p>
    <w:p w:rsidR="00782C4C" w:rsidRDefault="00D20609" w14:paraId="0000000B" w14:textId="77777777">
      <w:pPr>
        <w:jc w:val="both"/>
        <w:rPr>
          <w:sz w:val="22"/>
          <w:szCs w:val="22"/>
        </w:rPr>
      </w:pPr>
      <w:r>
        <w:rPr>
          <w:sz w:val="22"/>
          <w:szCs w:val="22"/>
        </w:rPr>
        <w:t xml:space="preserve"> </w:t>
      </w:r>
    </w:p>
    <w:p w:rsidR="00782C4C" w:rsidRDefault="00D20609" w14:paraId="0000000C" w14:textId="77777777">
      <w:pPr>
        <w:jc w:val="both"/>
        <w:rPr>
          <w:sz w:val="22"/>
          <w:szCs w:val="22"/>
        </w:rPr>
      </w:pPr>
      <w:r>
        <w:rPr>
          <w:sz w:val="22"/>
          <w:szCs w:val="22"/>
        </w:rPr>
        <w:t>Louis Agassiz (1807-1873), est l’un des fondateurs du Muséum de Neuchâtel. C’est une figure marquante de l’histoire des sciences. Né en Suisse, il s’impose au XIXe siècle comme un naturaliste éminent, largement reconnu pour ses contributions à la géologie et à la paléontologie, notamment pour sa théorie des périodes glaciaires qui révolutionna la compréhension du climat et des paysages terrestres. Agassiz fut aussi un professeur influent, jouissant d'une carrière prestigieuse aux États-Unis. Disciple et suc</w:t>
      </w:r>
      <w:r>
        <w:rPr>
          <w:sz w:val="22"/>
          <w:szCs w:val="22"/>
        </w:rPr>
        <w:t>cesseur de Georges Cuvier, il va mener des recherches d'envergure internationale, contribuant ainsi à la renommée scientifique de Neuchâtel. Ses travaux ont fait progresser notre compréhension du monde, établissant Agassiz comme un scientifique visionnaire de son époque.</w:t>
      </w:r>
    </w:p>
    <w:p w:rsidR="00782C4C" w:rsidRDefault="00D20609" w14:paraId="0000000D" w14:textId="77777777">
      <w:pPr>
        <w:spacing w:before="240" w:after="240"/>
        <w:jc w:val="both"/>
        <w:rPr>
          <w:sz w:val="22"/>
          <w:szCs w:val="22"/>
        </w:rPr>
      </w:pPr>
      <w:r>
        <w:rPr>
          <w:sz w:val="22"/>
          <w:szCs w:val="22"/>
        </w:rPr>
        <w:t>Cependant, derrière ce parcours scientifique exemplaire, se cache un aspect plus sombre et controversé de sa pensée. Agassiz était également un fervent opposant à Darwin et un défenseur des théories racistes de son époque, notamment la polygenèse, qui stipule que les différentes races humaines ont des origines distinctes. Cette théorie a justifié des hiérarchies raciales et fortement influencé le développement du racisme scientifique. Ce sont ces mêmes théories qui ont soutenu les politiques ségrégationnist</w:t>
      </w:r>
      <w:r>
        <w:rPr>
          <w:sz w:val="22"/>
          <w:szCs w:val="22"/>
        </w:rPr>
        <w:t>es et esclavagistes aux États-Unis. Aujourd'hui, l'héritage d'Agassiz fait l'objet d'un examen critique approfondi.</w:t>
      </w:r>
    </w:p>
    <w:p w:rsidR="00782C4C" w:rsidRDefault="00D20609" w14:paraId="0000000E" w14:textId="77777777">
      <w:pPr>
        <w:spacing w:before="240" w:after="240"/>
        <w:jc w:val="both"/>
        <w:rPr>
          <w:sz w:val="22"/>
          <w:szCs w:val="22"/>
        </w:rPr>
      </w:pPr>
      <w:r>
        <w:rPr>
          <w:sz w:val="22"/>
          <w:szCs w:val="22"/>
        </w:rPr>
        <w:t>Des contributions scientifiques qui ont fortement contribué à la renommée scientifique de Neuchâtel et à l’enrichissement des collections de paléontologie du Muséum, ainsi que des théories raciales, ancrées dans le contexte idéologique du XIXe siècle, qui ont joué un rôle majeur dans la légitimation de politiques discriminatoires.</w:t>
      </w:r>
    </w:p>
    <w:p w:rsidR="00782C4C" w:rsidRDefault="00D20609" w14:paraId="0000000F" w14:textId="77777777">
      <w:pPr>
        <w:spacing w:before="240" w:after="240"/>
        <w:jc w:val="both"/>
        <w:rPr>
          <w:sz w:val="22"/>
          <w:szCs w:val="22"/>
        </w:rPr>
      </w:pPr>
      <w:r>
        <w:rPr>
          <w:sz w:val="22"/>
          <w:szCs w:val="22"/>
        </w:rPr>
        <w:t>La dualité de cet héritage pose un véritable défi et soulève des questions fondamentales. Comment aborder, présenter, expliquer l’héritage d'une figure aussi controversée ? Cette tension illustre de manière éloquente les défis auxquels font face les musées dans leur mission d'interprétation de l'histoire des sciences.</w:t>
      </w:r>
    </w:p>
    <w:p w:rsidR="00782C4C" w:rsidP="01EAA08F" w:rsidRDefault="00D20609" w14:paraId="00000010" w14:textId="77777777">
      <w:pPr>
        <w:spacing w:before="240" w:after="240"/>
        <w:jc w:val="both"/>
        <w:rPr>
          <w:sz w:val="22"/>
          <w:szCs w:val="22"/>
          <w:lang w:val="fr-FR"/>
        </w:rPr>
      </w:pPr>
      <w:r w:rsidRPr="01EAA08F">
        <w:rPr>
          <w:sz w:val="22"/>
          <w:szCs w:val="22"/>
          <w:lang w:val="fr-FR"/>
        </w:rPr>
        <w:t xml:space="preserve">Cet héritage complexe de Louis Agassiz offre au Muséum de Neuchâtel une opportunité unique de mettre en œuvre une réflexion critique sur l'histoire intellectuelle de l'institution. Cette démarche s'amorce avec la rénovation des espaces d'accueil. Le muséum a fait le choix de conserver et de contextualiser un portrait de Louis Agassiz. C’est un tableau grand format,  imposant[6] </w:t>
      </w:r>
      <w:r w:rsidRPr="01EAA08F">
        <w:rPr>
          <w:sz w:val="16"/>
          <w:szCs w:val="16"/>
          <w:lang w:val="fr-FR"/>
        </w:rPr>
        <w:t xml:space="preserve">[ML7] </w:t>
      </w:r>
      <w:r w:rsidRPr="01EAA08F">
        <w:rPr>
          <w:sz w:val="22"/>
          <w:szCs w:val="22"/>
          <w:lang w:val="fr-FR"/>
        </w:rPr>
        <w:t>, représentant Louis Agassiz debout, posant avec fierté, encadré de moulures dorées, qui reflète la grandeur et la solennité de l'époque. Héritage d’une personnification de l’histoire. Le tableau incarne à lui seul le culte rendu aux figures des fondateurs. En acceptant de s'interroger sur le futur de ce tableau, le Muséum illustre la volonté de l'institution d'aborder la "zone grise" de l'histoire, sans éluder les aspects les plus controversés du passé.</w:t>
      </w:r>
    </w:p>
    <w:p w:rsidR="00782C4C" w:rsidP="01EAA08F" w:rsidRDefault="00D20609" w14:paraId="00000011" w14:textId="77777777">
      <w:pPr>
        <w:spacing w:before="240" w:after="240"/>
        <w:jc w:val="both"/>
        <w:rPr>
          <w:sz w:val="22"/>
          <w:szCs w:val="22"/>
          <w:lang w:val="fr-FR"/>
        </w:rPr>
      </w:pPr>
      <w:r w:rsidRPr="01EAA08F">
        <w:rPr>
          <w:sz w:val="22"/>
          <w:szCs w:val="22"/>
          <w:lang w:val="fr-FR"/>
        </w:rPr>
        <w:t>La rénovation des espaces d'accueil a permis de commencer à interroger cet héritage et de fait, de proposer une réflexion sur les missions du Muséum aujourd’hui. C’est écrit noir sur blanc, sur le journal mis a disposition des publics, il s’agit de : “</w:t>
      </w:r>
      <w:r w:rsidRPr="01EAA08F">
        <w:rPr>
          <w:i/>
          <w:iCs/>
          <w:sz w:val="22"/>
          <w:szCs w:val="22"/>
          <w:lang w:val="fr-FR"/>
        </w:rPr>
        <w:t>questionner les origines de ce musée ainsi que son avenir</w:t>
      </w:r>
      <w:r w:rsidRPr="01EAA08F">
        <w:rPr>
          <w:sz w:val="22"/>
          <w:szCs w:val="22"/>
          <w:lang w:val="fr-FR"/>
        </w:rPr>
        <w:t>” et comme le précise l’éditorial signé du Directeur : “</w:t>
      </w:r>
      <w:r w:rsidRPr="01EAA08F">
        <w:rPr>
          <w:i/>
          <w:iCs/>
          <w:sz w:val="22"/>
          <w:szCs w:val="22"/>
          <w:lang w:val="fr-FR"/>
        </w:rPr>
        <w:t>Tout le monde est invité à s’y asseoir à s’approprier les lieux et à lire ce journal</w:t>
      </w:r>
      <w:r w:rsidRPr="01EAA08F">
        <w:rPr>
          <w:sz w:val="22"/>
          <w:szCs w:val="22"/>
          <w:lang w:val="fr-FR"/>
        </w:rPr>
        <w:t>”.</w:t>
      </w:r>
    </w:p>
    <w:p w:rsidR="00782C4C" w:rsidRDefault="00D20609" w14:paraId="00000012" w14:textId="77777777">
      <w:pPr>
        <w:spacing w:before="240" w:after="240"/>
        <w:jc w:val="both"/>
        <w:rPr>
          <w:sz w:val="22"/>
          <w:szCs w:val="22"/>
        </w:rPr>
      </w:pPr>
      <w:r>
        <w:rPr>
          <w:sz w:val="22"/>
          <w:szCs w:val="22"/>
        </w:rPr>
        <w:t>Ce premier questionnement sur cet espace d’accueil n’a été qu’une amorce qui va encore se poursuivre dans les années à venir. Ce n’était en effet que le commencement d’une réflexion plus profonde sur la nature même des collections. Le musée s'est interrogé sur la provenance de ses objets et les méthodes d'acquisition, ouvrant ainsi un vaste chantier et autant de questionnements. Cette introspection a conduit à une prise de conscience de la nécessité de contextualiser les objets au sein de leurs contextes cu</w:t>
      </w:r>
      <w:r>
        <w:rPr>
          <w:sz w:val="22"/>
          <w:szCs w:val="22"/>
        </w:rPr>
        <w:t>lturels et historiques d'origine, reconnaissant ainsi les dimensions complexes et parfois conflictuelles de leur acquisition et de leur représentation.</w:t>
      </w:r>
    </w:p>
    <w:p w:rsidR="00782C4C" w:rsidRDefault="00D20609" w14:paraId="00000013" w14:textId="77777777">
      <w:pPr>
        <w:spacing w:before="240" w:after="240"/>
        <w:jc w:val="both"/>
        <w:rPr>
          <w:sz w:val="22"/>
          <w:szCs w:val="22"/>
        </w:rPr>
      </w:pPr>
      <w:r>
        <w:rPr>
          <w:sz w:val="22"/>
          <w:szCs w:val="22"/>
        </w:rPr>
        <w:t xml:space="preserve">C’est une approche muséale proactive et responsable face aux défis posés par les héritages complexes du passé. En contextualisant les aspects controversés de son histoire, l'institution s'engage dans une démarche de transparence et de dialogue critique, ouvrant la voie à une compréhension plus nuancée et éclairée de son rôle dans la construction des savoirs et des récits historiques. Cette problématique s'inscrit dans un débat plus large sur la décolonisation des institutions culturelles et la réévaluation </w:t>
      </w:r>
      <w:r>
        <w:rPr>
          <w:sz w:val="22"/>
          <w:szCs w:val="22"/>
        </w:rPr>
        <w:t>critique de leurs collections et de leurs narratifs historiques.</w:t>
      </w:r>
    </w:p>
    <w:p w:rsidR="00782C4C" w:rsidRDefault="00D20609" w14:paraId="00000014" w14:textId="77777777">
      <w:pPr>
        <w:spacing w:before="240" w:after="240"/>
        <w:jc w:val="both"/>
        <w:rPr>
          <w:b/>
          <w:sz w:val="22"/>
          <w:szCs w:val="22"/>
        </w:rPr>
      </w:pPr>
      <w:r>
        <w:rPr>
          <w:b/>
          <w:sz w:val="22"/>
          <w:szCs w:val="22"/>
        </w:rPr>
        <w:t>L'Exposition "Nommer les natures, histoire naturelle et héritage colonial »</w:t>
      </w:r>
    </w:p>
    <w:p w:rsidR="00782C4C" w:rsidP="01EAA08F" w:rsidRDefault="00D20609" w14:paraId="00000015" w14:textId="77777777">
      <w:pPr>
        <w:spacing w:before="240" w:after="240"/>
        <w:jc w:val="both"/>
        <w:rPr>
          <w:sz w:val="22"/>
          <w:szCs w:val="22"/>
          <w:lang w:val="fr-FR"/>
        </w:rPr>
      </w:pPr>
      <w:r w:rsidRPr="01EAA08F">
        <w:rPr>
          <w:sz w:val="22"/>
          <w:szCs w:val="22"/>
          <w:lang w:val="fr-FR"/>
        </w:rPr>
        <w:t>En 1838, le Muséum d'histoire naturelle de Neuchâtel envoie un jeune naturaliste suisse, Johann Jakob von Tschudi (1818-1889), faire le tour du monde. Son but : collecter autant d’animaux que possible pour enrichir les collections du Muséum. Des circonstances imprévues le retiennent au Pérou, où il passe cinq ans (1838-1843) à chasser et préparer des animaux pour Neuchâtel. À son retour en Europe, il publie un ouvrage en deux volumes : Untersuchungen über Fauna Peruana, dans lequel il décrit les animaux qu'</w:t>
      </w:r>
      <w:r w:rsidRPr="01EAA08F">
        <w:rPr>
          <w:sz w:val="22"/>
          <w:szCs w:val="22"/>
          <w:lang w:val="fr-FR"/>
        </w:rPr>
        <w:t>il a étudiés au Pérou.</w:t>
      </w:r>
    </w:p>
    <w:p w:rsidR="00782C4C" w:rsidP="01EAA08F" w:rsidRDefault="00D20609" w14:paraId="00000016" w14:textId="77777777">
      <w:pPr>
        <w:spacing w:before="240" w:after="240"/>
        <w:jc w:val="both"/>
        <w:rPr>
          <w:sz w:val="22"/>
          <w:szCs w:val="22"/>
          <w:lang w:val="fr-FR"/>
        </w:rPr>
      </w:pPr>
      <w:r w:rsidRPr="01EAA08F">
        <w:rPr>
          <w:sz w:val="22"/>
          <w:szCs w:val="22"/>
          <w:lang w:val="fr-FR"/>
        </w:rPr>
        <w:t>Plus de 1000 spécimens sont collectés par Jakob Von Tschudi</w:t>
      </w:r>
      <w:r w:rsidRPr="01EAA08F">
        <w:rPr>
          <w:sz w:val="22"/>
          <w:szCs w:val="22"/>
          <w:lang w:val="fr-FR"/>
        </w:rPr>
        <w:t>. Ces spécimens sont conservés dans les collections du Muséum. En lien avec les observations qui leur sont consacrées dans Untersuchungen über Fauna Peruana, ces collections témoignent de l’existence de certaines espèces à des endroits précis en un temps donné, mais aussi de la présence de naturalistes européens bénéficiant des réseaux coloniaux en Amérique du Sud. Dans la continuité de la réflexion initiée sur la responsabilité du Muséum vis-à-vis de son histoire, et dans le cadre d’un projet Agora financé</w:t>
      </w:r>
      <w:r w:rsidRPr="01EAA08F">
        <w:rPr>
          <w:sz w:val="22"/>
          <w:szCs w:val="22"/>
          <w:lang w:val="fr-FR"/>
        </w:rPr>
        <w:t xml:space="preserve"> par la confédération suisse, l’exposition “Nommer les natures”, revisite cet héritage. Le croisement des regards des co-commissaires du projet, l’historien Tomás Bartoletti, de l’artiste Denise Bertschi et de l’équipe du muséum propose une narration contemporaine de cette histoire. L’exposition pose les questions suivantes: Comment mieux rendre compte du contexte dans lequel cette collection extra-européenne a été acquise ? La manière de nommer la nature est-elle un vecteur d'impérialisme ?</w:t>
      </w:r>
    </w:p>
    <w:p w:rsidR="00782C4C" w:rsidP="01EAA08F" w:rsidRDefault="00D20609" w14:paraId="00000017" w14:textId="77777777">
      <w:pPr>
        <w:spacing w:before="240" w:after="240"/>
        <w:jc w:val="both"/>
        <w:rPr>
          <w:sz w:val="22"/>
          <w:szCs w:val="22"/>
          <w:lang w:val="fr-FR"/>
        </w:rPr>
      </w:pPr>
      <w:r w:rsidRPr="01EAA08F">
        <w:rPr>
          <w:sz w:val="22"/>
          <w:szCs w:val="22"/>
          <w:lang w:val="fr-FR"/>
        </w:rPr>
        <w:t>Ici aussi le Muséum exprime sa position en lien avec les travaux de ses partenaires et rejoint la réflexion du politologue Pierre Hazan</w:t>
      </w:r>
      <w:r w:rsidRPr="01EAA08F">
        <w:rPr>
          <w:sz w:val="22"/>
          <w:szCs w:val="22"/>
          <w:vertAlign w:val="superscript"/>
          <w:lang w:val="fr-FR"/>
        </w:rPr>
        <w:footnoteReference w:id="4"/>
      </w:r>
      <w:r w:rsidRPr="01EAA08F">
        <w:rPr>
          <w:sz w:val="22"/>
          <w:szCs w:val="22"/>
          <w:lang w:val="fr-FR"/>
        </w:rPr>
        <w:t xml:space="preserve"> qui suggère de contextualiser plutôt que d'effacer. Les problématiques et les réflexions qui sous-tendent ce projet d’exposition sont annoncées dès l’entrée dans l’exposition : “</w:t>
      </w:r>
      <w:r w:rsidRPr="01EAA08F">
        <w:rPr>
          <w:i/>
          <w:iCs/>
          <w:sz w:val="22"/>
          <w:szCs w:val="22"/>
          <w:lang w:val="fr-FR"/>
        </w:rPr>
        <w:t>Les nombreuses discussions qui ont animé et nourri la réalisation de ce projet sont loin d’être conclues. Cette exposition n'est pas conçue comme un modèle du genre, mais plutôt comme un exercice critique permettant de repenser les collections d'histoire naturelle constituées en contexte colonial selon des perspectives tant scienti</w:t>
      </w:r>
      <w:r w:rsidRPr="01EAA08F">
        <w:rPr>
          <w:i/>
          <w:iCs/>
          <w:sz w:val="22"/>
          <w:szCs w:val="22"/>
          <w:lang w:val="fr-FR"/>
        </w:rPr>
        <w:t>fiques qu’historiques et muséographiques</w:t>
      </w:r>
      <w:r w:rsidRPr="01EAA08F">
        <w:rPr>
          <w:sz w:val="22"/>
          <w:szCs w:val="22"/>
          <w:lang w:val="fr-FR"/>
        </w:rPr>
        <w:t>”.</w:t>
      </w:r>
    </w:p>
    <w:p w:rsidR="00782C4C" w:rsidRDefault="00D20609" w14:paraId="00000018" w14:textId="77777777">
      <w:pPr>
        <w:jc w:val="both"/>
        <w:rPr>
          <w:sz w:val="22"/>
          <w:szCs w:val="22"/>
        </w:rPr>
      </w:pPr>
      <w:r>
        <w:rPr>
          <w:sz w:val="22"/>
          <w:szCs w:val="22"/>
        </w:rPr>
        <w:t>Les membres de l'équipe interne et externe ont beaucoup débattu de la légitimité de ces collections, s'interrogeant sur les implications éthiques de leur exposition. L’un des défis a été de trouver un équilibre entre la transparence sur les doutes entourant la légitimité des spécimens et le désir de les présenter au public.</w:t>
      </w:r>
    </w:p>
    <w:p w:rsidR="00782C4C" w:rsidRDefault="00D20609" w14:paraId="00000019" w14:textId="77777777">
      <w:pPr>
        <w:jc w:val="both"/>
        <w:rPr>
          <w:sz w:val="22"/>
          <w:szCs w:val="22"/>
        </w:rPr>
      </w:pPr>
      <w:r>
        <w:rPr>
          <w:sz w:val="22"/>
          <w:szCs w:val="22"/>
        </w:rPr>
        <w:t>Les discussions au sein de l'équipe ont révélé un consensus sur la nécessité d'adopter une approche singulière. Tous les membres ont reconnu l'importance de questionner les pratiques muséales traditionnelles. Bien que des opinions divergentes aient pu émerger, le désir de se confronter aux enjeux éthiques a prévalu. Cette dynamique a permis de transformer des hésitations initiales en une volonté collective de faire évoluer la présentation des collections dans ce projet d’exposition.</w:t>
      </w:r>
    </w:p>
    <w:p w:rsidR="00782C4C" w:rsidRDefault="00D20609" w14:paraId="0000001A" w14:textId="77777777">
      <w:pPr>
        <w:jc w:val="both"/>
        <w:rPr>
          <w:sz w:val="22"/>
          <w:szCs w:val="22"/>
        </w:rPr>
      </w:pPr>
      <w:r>
        <w:rPr>
          <w:sz w:val="22"/>
          <w:szCs w:val="22"/>
        </w:rPr>
        <w:t xml:space="preserve"> </w:t>
      </w:r>
    </w:p>
    <w:p w:rsidR="00782C4C" w:rsidRDefault="00D20609" w14:paraId="0000001B" w14:textId="77777777">
      <w:pPr>
        <w:jc w:val="both"/>
        <w:rPr>
          <w:sz w:val="22"/>
          <w:szCs w:val="22"/>
        </w:rPr>
      </w:pPr>
      <w:r>
        <w:rPr>
          <w:sz w:val="22"/>
          <w:szCs w:val="22"/>
        </w:rPr>
        <w:t>De nombreux spécimens ont été collectés dans des contextes où les populations locales ont été dépossédées de leurs terres et de leurs ressources. La question de la provenance des collections est donc cruciale pour comprendre l'histoire de ces spécimens et leur place dans l’histoire des collections du Muséum. Il fallait mettre en exergue les enjeux relatifs à la légitimité de cette présence à Neuchâtel.</w:t>
      </w:r>
    </w:p>
    <w:p w:rsidR="00782C4C" w:rsidRDefault="00D20609" w14:paraId="0000001C" w14:textId="77777777">
      <w:pPr>
        <w:jc w:val="both"/>
        <w:rPr>
          <w:sz w:val="22"/>
          <w:szCs w:val="22"/>
        </w:rPr>
      </w:pPr>
      <w:r>
        <w:rPr>
          <w:sz w:val="22"/>
          <w:szCs w:val="22"/>
        </w:rPr>
        <w:t xml:space="preserve"> </w:t>
      </w:r>
    </w:p>
    <w:p w:rsidR="00782C4C" w:rsidRDefault="00D20609" w14:paraId="0000001D" w14:textId="77777777">
      <w:pPr>
        <w:jc w:val="both"/>
        <w:rPr>
          <w:sz w:val="22"/>
          <w:szCs w:val="22"/>
        </w:rPr>
      </w:pPr>
      <w:r>
        <w:rPr>
          <w:sz w:val="22"/>
          <w:szCs w:val="22"/>
        </w:rPr>
        <w:t>Par respect pour les communautés autochtones qui n'ont pas encore été identifiées et consultées au sujet de l'exposition de ces spécimens, certaines vitrines ne sont visibles qu'en soulevant un rideau. Une manière de souligner le fait que des populations ont été affectées par la collecte de ces objets, que la légitimité de ces collections demeure discutable et que le geste de soulever ou pas le rideau encourage le public à adopter un regard nouveau sur les objets exposés.</w:t>
      </w:r>
    </w:p>
    <w:p w:rsidR="00782C4C" w:rsidRDefault="00D20609" w14:paraId="0000001E" w14:textId="77777777">
      <w:pPr>
        <w:jc w:val="both"/>
        <w:rPr>
          <w:sz w:val="22"/>
          <w:szCs w:val="22"/>
        </w:rPr>
      </w:pPr>
      <w:r>
        <w:rPr>
          <w:sz w:val="22"/>
          <w:szCs w:val="22"/>
        </w:rPr>
        <w:t xml:space="preserve"> </w:t>
      </w:r>
    </w:p>
    <w:p w:rsidR="00782C4C" w:rsidP="01EAA08F" w:rsidRDefault="00D20609" w14:paraId="0000001F" w14:textId="77777777">
      <w:pPr>
        <w:jc w:val="both"/>
        <w:rPr>
          <w:sz w:val="22"/>
          <w:szCs w:val="22"/>
          <w:lang w:val="fr-FR"/>
        </w:rPr>
      </w:pPr>
      <w:r w:rsidRPr="01EAA08F">
        <w:rPr>
          <w:sz w:val="22"/>
          <w:szCs w:val="22"/>
          <w:lang w:val="fr-FR"/>
        </w:rPr>
        <w:t xml:space="preserve">Cette démarche réflexive est présente tout au long du parcours jusque dans certains dispositifs de médiation qui n'hésitent pas à provoquer. Un faux compte Instagram historique par exemple qui renvoie dos à dos l'époque de </w:t>
      </w:r>
      <w:r w:rsidRPr="01EAA08F">
        <w:rPr>
          <w:lang w:val="fr-FR"/>
        </w:rPr>
        <w:t>Tschudi</w:t>
      </w:r>
      <w:r w:rsidRPr="01EAA08F">
        <w:rPr>
          <w:sz w:val="16"/>
          <w:szCs w:val="16"/>
          <w:lang w:val="fr-FR"/>
        </w:rPr>
        <w:t xml:space="preserve"> </w:t>
      </w:r>
      <w:r w:rsidRPr="01EAA08F">
        <w:rPr>
          <w:sz w:val="22"/>
          <w:szCs w:val="22"/>
          <w:lang w:val="fr-FR"/>
        </w:rPr>
        <w:t xml:space="preserve"> et nos pratiques contemporaines. Un dispositif qui là aussi incite tout à chacun à la critique et à la réflexion.</w:t>
      </w:r>
    </w:p>
    <w:p w:rsidR="00782C4C" w:rsidRDefault="00D20609" w14:paraId="00000020" w14:textId="77777777">
      <w:pPr>
        <w:jc w:val="both"/>
        <w:rPr>
          <w:sz w:val="22"/>
          <w:szCs w:val="22"/>
          <w:shd w:val="clear" w:color="auto" w:fill="FCE5CD"/>
        </w:rPr>
      </w:pPr>
      <w:r>
        <w:rPr>
          <w:sz w:val="22"/>
          <w:szCs w:val="22"/>
          <w:shd w:val="clear" w:color="auto" w:fill="FCE5CD"/>
        </w:rPr>
        <w:t xml:space="preserve"> </w:t>
      </w:r>
    </w:p>
    <w:p w:rsidR="00782C4C" w:rsidRDefault="00D20609" w14:paraId="00000021" w14:textId="77777777">
      <w:pPr>
        <w:jc w:val="both"/>
        <w:rPr>
          <w:sz w:val="22"/>
          <w:szCs w:val="22"/>
        </w:rPr>
      </w:pPr>
      <w:r>
        <w:rPr>
          <w:sz w:val="22"/>
          <w:szCs w:val="22"/>
        </w:rPr>
        <w:t>Le Muséum de Neuchâtel, à travers son approche novatrice et critique de son propre héritage, démontre qu'un musée peut être à la fois un lieu de conservation du patrimoine et un espace de réflexion critique. Cette approche "décomplexée" offre un modèle inspirant.</w:t>
      </w:r>
    </w:p>
    <w:p w:rsidR="00782C4C" w:rsidRDefault="00D20609" w14:paraId="00000022" w14:textId="77777777">
      <w:pPr>
        <w:jc w:val="both"/>
        <w:rPr>
          <w:sz w:val="22"/>
          <w:szCs w:val="22"/>
        </w:rPr>
      </w:pPr>
      <w:r>
        <w:rPr>
          <w:sz w:val="22"/>
          <w:szCs w:val="22"/>
        </w:rPr>
        <w:t>Il réévalue le difficile</w:t>
      </w:r>
      <w:r>
        <w:rPr>
          <w:sz w:val="16"/>
          <w:szCs w:val="16"/>
        </w:rPr>
        <w:t xml:space="preserve"> </w:t>
      </w:r>
      <w:r>
        <w:rPr>
          <w:sz w:val="22"/>
          <w:szCs w:val="22"/>
        </w:rPr>
        <w:t xml:space="preserve">et le complexe, il ose ouvrir les portes d’une muséologie enrichie </w:t>
      </w:r>
      <w:r>
        <w:t>d’une multitude de regards</w:t>
      </w:r>
      <w:r>
        <w:rPr>
          <w:sz w:val="22"/>
          <w:szCs w:val="22"/>
        </w:rPr>
        <w:t>. Tout en demeurant fidèle à la mission première de conservation, il encourage la réflexion, inscrit la transparence et l'échange au cœur de sa mission.</w:t>
      </w:r>
    </w:p>
    <w:p w:rsidR="00782C4C" w:rsidRDefault="00D20609" w14:paraId="00000023" w14:textId="77777777">
      <w:pPr>
        <w:jc w:val="both"/>
        <w:rPr>
          <w:sz w:val="22"/>
          <w:szCs w:val="22"/>
        </w:rPr>
      </w:pPr>
      <w:r>
        <w:rPr>
          <w:sz w:val="22"/>
          <w:szCs w:val="22"/>
        </w:rPr>
        <w:t>Avec une audace mêlée d'humilité, le musée ne se dérobe pas. Il affronte en pleine lumière les questions délicates en tendant la main</w:t>
      </w:r>
      <w:r>
        <w:t xml:space="preserve"> à la complexité </w:t>
      </w:r>
      <w:r>
        <w:rPr>
          <w:sz w:val="22"/>
          <w:szCs w:val="22"/>
        </w:rPr>
        <w:t xml:space="preserve">et au dialogue. Il s'inscrit dans une dynamique, dans un mouvement de </w:t>
      </w:r>
      <w:r>
        <w:t>construction en lien avec les recherches historiques</w:t>
      </w:r>
      <w:r>
        <w:rPr>
          <w:sz w:val="22"/>
          <w:szCs w:val="22"/>
        </w:rPr>
        <w:t>. En abordant sans détour les aspects sensibles de son passé, il adopte une posture proactive permettant une compréhension plus fine et nuancée de son rôle. Se tenant ainsi à la hauteur des enjeux éthiques et sociaux de notre époque pour promouvoir une culture de la responsabilité dans les institutions muséales.</w:t>
      </w:r>
    </w:p>
    <w:p w:rsidR="00782C4C" w:rsidRDefault="00D20609" w14:paraId="00000024" w14:textId="77777777">
      <w:pPr>
        <w:jc w:val="both"/>
        <w:rPr>
          <w:sz w:val="22"/>
          <w:szCs w:val="22"/>
        </w:rPr>
      </w:pPr>
      <w:r>
        <w:rPr>
          <w:sz w:val="22"/>
          <w:szCs w:val="22"/>
        </w:rPr>
        <w:t xml:space="preserve"> </w:t>
      </w:r>
    </w:p>
    <w:p w:rsidR="00782C4C" w:rsidRDefault="00D20609" w14:paraId="00000025" w14:textId="77777777">
      <w:pPr>
        <w:spacing w:before="360" w:after="80"/>
        <w:jc w:val="both"/>
      </w:pPr>
      <w:r>
        <w:t>13806</w:t>
      </w:r>
    </w:p>
    <w:p w:rsidR="00782C4C" w:rsidRDefault="00782C4C" w14:paraId="00000026" w14:textId="77777777">
      <w:pPr>
        <w:spacing w:before="360" w:after="80"/>
        <w:jc w:val="both"/>
      </w:pPr>
    </w:p>
    <w:p w:rsidR="00782C4C" w:rsidRDefault="00782C4C" w14:paraId="00000027" w14:textId="77777777">
      <w:pPr>
        <w:jc w:val="both"/>
      </w:pPr>
    </w:p>
    <w:p w:rsidR="00782C4C" w:rsidRDefault="00782C4C" w14:paraId="00000028" w14:textId="77777777">
      <w:pPr>
        <w:spacing w:before="240" w:after="240"/>
        <w:jc w:val="both"/>
      </w:pPr>
    </w:p>
    <w:sectPr w:rsidR="00782C4C">
      <w:footerReference w:type="default" r:id="rId9"/>
      <w:pgSz w:w="11909" w:h="16834"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20609" w:rsidRDefault="00D20609" w14:paraId="14A17285" w14:textId="77777777">
      <w:r>
        <w:separator/>
      </w:r>
    </w:p>
  </w:endnote>
  <w:endnote w:type="continuationSeparator" w:id="0">
    <w:p w:rsidR="00D20609" w:rsidRDefault="00D20609" w14:paraId="4028B8C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82C4C" w:rsidRDefault="00D20609" w14:paraId="00000029" w14:textId="7828B162">
    <w:pPr>
      <w:jc w:val="center"/>
    </w:pPr>
    <w:r>
      <w:fldChar w:fldCharType="begin"/>
    </w:r>
    <w:r>
      <w:instrText>PAGE</w:instrText>
    </w:r>
    <w:r>
      <w:fldChar w:fldCharType="separate"/>
    </w:r>
    <w:r w:rsidR="00C67C0F">
      <w:rPr>
        <w:noProof/>
      </w:rPr>
      <w:t>1</w:t>
    </w:r>
    <w:r>
      <w:fldChar w:fldCharType="end"/>
    </w:r>
    <w:r>
      <w:t>/</w:t>
    </w:r>
    <w:r>
      <w:fldChar w:fldCharType="begin"/>
    </w:r>
    <w:r>
      <w:instrText>NUMPAGES</w:instrText>
    </w:r>
    <w:r>
      <w:fldChar w:fldCharType="separate"/>
    </w:r>
    <w:r w:rsidR="00C67C0F">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20609" w:rsidRDefault="00D20609" w14:paraId="2E77DD48" w14:textId="77777777">
      <w:r>
        <w:separator/>
      </w:r>
    </w:p>
  </w:footnote>
  <w:footnote w:type="continuationSeparator" w:id="0">
    <w:p w:rsidR="00D20609" w:rsidRDefault="00D20609" w14:paraId="505DDA09" w14:textId="77777777">
      <w:r>
        <w:continuationSeparator/>
      </w:r>
    </w:p>
  </w:footnote>
  <w:footnote w:id="1">
    <w:p w:rsidR="00782C4C" w:rsidRDefault="00D20609" w14:paraId="0000002B" w14:textId="77777777">
      <w:pPr>
        <w:rPr>
          <w:sz w:val="20"/>
          <w:szCs w:val="20"/>
        </w:rPr>
      </w:pPr>
      <w:r>
        <w:rPr>
          <w:vertAlign w:val="superscript"/>
        </w:rPr>
        <w:footnoteRef/>
      </w:r>
      <w:r>
        <w:rPr>
          <w:sz w:val="20"/>
          <w:szCs w:val="20"/>
        </w:rPr>
        <w:t xml:space="preserve"> https://www.museum-neuchatel.ch/expositions/exposition-temporaire-emballe-moi/</w:t>
      </w:r>
    </w:p>
  </w:footnote>
  <w:footnote w:id="2">
    <w:p w:rsidR="00782C4C" w:rsidRDefault="00D20609" w14:paraId="0000002C" w14:textId="77777777">
      <w:pPr>
        <w:rPr>
          <w:sz w:val="20"/>
          <w:szCs w:val="20"/>
        </w:rPr>
      </w:pPr>
      <w:r>
        <w:rPr>
          <w:vertAlign w:val="superscript"/>
        </w:rPr>
        <w:footnoteRef/>
      </w:r>
      <w:r>
        <w:rPr>
          <w:sz w:val="20"/>
          <w:szCs w:val="20"/>
        </w:rPr>
        <w:t xml:space="preserve"> Bouda Etemad; Fabio Rossinelli: "Colonialisme", in: </w:t>
      </w:r>
      <w:r>
        <w:rPr>
          <w:i/>
          <w:sz w:val="20"/>
          <w:szCs w:val="20"/>
        </w:rPr>
        <w:t>Dictionnaire historique de la Suisse (DHS)</w:t>
      </w:r>
      <w:r>
        <w:rPr>
          <w:sz w:val="20"/>
          <w:szCs w:val="20"/>
        </w:rPr>
        <w:t xml:space="preserve">. Online: https://hls-dhs-dss.ch/fr/articles/026457/2024-09-18/, consulté le 04.10.2024. </w:t>
      </w:r>
    </w:p>
  </w:footnote>
  <w:footnote w:id="3">
    <w:p w:rsidR="00782C4C" w:rsidRDefault="00D20609" w14:paraId="0000002A" w14:textId="77777777">
      <w:pPr>
        <w:rPr>
          <w:sz w:val="20"/>
          <w:szCs w:val="20"/>
        </w:rPr>
      </w:pPr>
      <w:r>
        <w:rPr>
          <w:vertAlign w:val="superscript"/>
        </w:rPr>
        <w:footnoteRef/>
      </w:r>
      <w:r>
        <w:rPr>
          <w:sz w:val="20"/>
          <w:szCs w:val="20"/>
        </w:rPr>
        <w:t xml:space="preserve"> Barbara Lüthi, Francesca Falk et Patricia Purtschert, « Colonialism without Colonies : Examining Blank Spaces in Colonial Studies », </w:t>
      </w:r>
      <w:r>
        <w:rPr>
          <w:i/>
          <w:sz w:val="20"/>
          <w:szCs w:val="20"/>
        </w:rPr>
        <w:t>National Identities</w:t>
      </w:r>
      <w:r>
        <w:rPr>
          <w:sz w:val="20"/>
          <w:szCs w:val="20"/>
        </w:rPr>
        <w:t>, vol. 18, n</w:t>
      </w:r>
      <w:r>
        <w:rPr>
          <w:sz w:val="20"/>
          <w:szCs w:val="20"/>
          <w:vertAlign w:val="superscript"/>
        </w:rPr>
        <w:t>o</w:t>
      </w:r>
      <w:r>
        <w:rPr>
          <w:sz w:val="20"/>
          <w:szCs w:val="20"/>
        </w:rPr>
        <w:t xml:space="preserve"> 1,‎ 2016..</w:t>
      </w:r>
    </w:p>
  </w:footnote>
  <w:footnote w:id="4">
    <w:p w:rsidR="00782C4C" w:rsidRDefault="00D20609" w14:paraId="0000002D" w14:textId="77777777">
      <w:pPr>
        <w:rPr>
          <w:sz w:val="20"/>
          <w:szCs w:val="20"/>
        </w:rPr>
      </w:pPr>
      <w:r>
        <w:rPr>
          <w:vertAlign w:val="superscript"/>
        </w:rPr>
        <w:footnoteRef/>
      </w:r>
      <w:r>
        <w:rPr>
          <w:sz w:val="20"/>
          <w:szCs w:val="20"/>
        </w:rPr>
        <w:t xml:space="preserve"> </w:t>
      </w:r>
      <w:r>
        <w:rPr>
          <w:b/>
          <w:sz w:val="20"/>
          <w:szCs w:val="20"/>
        </w:rPr>
        <w:t>Pierre Hazan</w:t>
      </w:r>
      <w:r>
        <w:rPr>
          <w:sz w:val="20"/>
          <w:szCs w:val="20"/>
        </w:rPr>
        <w:t xml:space="preserve"> est conseiller auprès du </w:t>
      </w:r>
      <w:hyperlink r:id="rId1">
        <w:r w:rsidR="00782C4C">
          <w:rPr>
            <w:color w:val="1155CC"/>
            <w:sz w:val="20"/>
            <w:szCs w:val="20"/>
            <w:u w:val="single"/>
          </w:rPr>
          <w:t>Centre pour le Dialogue Humanitaire</w:t>
        </w:r>
      </w:hyperlink>
      <w:r>
        <w:rPr>
          <w:sz w:val="20"/>
          <w:szCs w:val="20"/>
        </w:rPr>
        <w:t>, l’une des principales organisations actives dans la médiation des conflits armés. Il a conseillé des organisations internationales, des gouvernements et des groupes armés sur notamment les questions de justice, d’amnistie, de réparations, de commissions vérité, de disparations forcées et de droit pénal international et de droits de l’homme. Il a notamment collaboré étroitement avec plusieurs rapporteurs spéciaux de l’ONU, dans la rédaction du</w:t>
      </w:r>
      <w:hyperlink w:anchor="https://www.ohchr.org/en/special-procedures/sr-cultural-rights/annual-reports" r:id="rId2">
        <w:r w:rsidR="00782C4C">
          <w:rPr>
            <w:sz w:val="20"/>
            <w:szCs w:val="20"/>
          </w:rPr>
          <w:t xml:space="preserve"> </w:t>
        </w:r>
      </w:hyperlink>
      <w:hyperlink w:anchor="https://www.ohchr.org/en/special-procedures/sr-cultural-rights/annual-reports" r:id="rId3">
        <w:r w:rsidR="00782C4C">
          <w:rPr>
            <w:color w:val="1155CC"/>
            <w:sz w:val="20"/>
            <w:szCs w:val="20"/>
            <w:u w:val="single"/>
          </w:rPr>
          <w:t>Rapport sur l’écriture et l’enseignement de l’histoire</w:t>
        </w:r>
      </w:hyperlink>
      <w:r>
        <w:rPr>
          <w:sz w:val="20"/>
          <w:szCs w:val="20"/>
        </w:rPr>
        <w:t xml:space="preserve"> (A/68/296), du</w:t>
      </w:r>
      <w:hyperlink r:id="rId4">
        <w:r w:rsidR="00782C4C">
          <w:rPr>
            <w:sz w:val="20"/>
            <w:szCs w:val="20"/>
          </w:rPr>
          <w:t xml:space="preserve"> </w:t>
        </w:r>
      </w:hyperlink>
      <w:hyperlink r:id="rId5">
        <w:r w:rsidR="00782C4C">
          <w:rPr>
            <w:color w:val="1155CC"/>
            <w:sz w:val="20"/>
            <w:szCs w:val="20"/>
            <w:u w:val="single"/>
          </w:rPr>
          <w:t>Rapport sur les processus de mémorialisation</w:t>
        </w:r>
      </w:hyperlink>
      <w:r>
        <w:rPr>
          <w:sz w:val="20"/>
          <w:szCs w:val="20"/>
        </w:rPr>
        <w:t xml:space="preserve"> (A/HRC/25/49), et du rapport sur</w:t>
      </w:r>
      <w:hyperlink r:id="rId6">
        <w:r w:rsidR="00782C4C">
          <w:rPr>
            <w:sz w:val="20"/>
            <w:szCs w:val="20"/>
          </w:rPr>
          <w:t xml:space="preserve"> </w:t>
        </w:r>
      </w:hyperlink>
      <w:hyperlink r:id="rId7">
        <w:r w:rsidR="00782C4C">
          <w:rPr>
            <w:color w:val="1155CC"/>
            <w:sz w:val="20"/>
            <w:szCs w:val="20"/>
            <w:u w:val="single"/>
          </w:rPr>
          <w:t>Les processus mémoriels dans le contexte des violations graves des droits de l’homme et du droit humanitaire</w:t>
        </w:r>
      </w:hyperlink>
      <w:r>
        <w:rPr>
          <w:i/>
          <w:sz w:val="20"/>
          <w:szCs w:val="20"/>
        </w:rPr>
        <w:t xml:space="preserve"> (A/HRC/45/45, 2020)</w:t>
      </w:r>
      <w:r>
        <w:rPr>
          <w:sz w:val="20"/>
          <w:szCs w:val="20"/>
        </w:rPr>
        <w:t xml:space="preserve">. </w:t>
      </w:r>
    </w:p>
    <w:p w:rsidR="00782C4C" w:rsidRDefault="00782C4C" w14:paraId="0000002E" w14:textId="77777777">
      <w:pPr>
        <w:rPr>
          <w:sz w:val="20"/>
          <w:szCs w:val="20"/>
        </w:rP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4C"/>
    <w:rsid w:val="000F6B59"/>
    <w:rsid w:val="003F3882"/>
    <w:rsid w:val="004C2087"/>
    <w:rsid w:val="00782C4C"/>
    <w:rsid w:val="008725C4"/>
    <w:rsid w:val="00921B94"/>
    <w:rsid w:val="00C67C0F"/>
    <w:rsid w:val="00D20609"/>
    <w:rsid w:val="00DD709C"/>
    <w:rsid w:val="00EF7BA5"/>
    <w:rsid w:val="00FD5D31"/>
    <w:rsid w:val="01EAA08F"/>
    <w:rsid w:val="0E620A03"/>
    <w:rsid w:val="24DB2F9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5A97489"/>
  <w15:docId w15:val="{DD496F08-9039-AD46-A712-1E83CECDD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Titre1">
    <w:name w:val="heading 1"/>
    <w:basedOn w:val="Normal"/>
    <w:next w:val="Normal"/>
    <w:uiPriority w:val="9"/>
    <w:qFormat/>
    <w:pPr>
      <w:jc w:val="center"/>
      <w:outlineLvl w:val="0"/>
    </w:pPr>
    <w:rPr>
      <w:b/>
      <w:sz w:val="28"/>
      <w:szCs w:val="28"/>
    </w:rPr>
  </w:style>
  <w:style w:type="paragraph" w:styleId="Titre2">
    <w:name w:val="heading 2"/>
    <w:basedOn w:val="Normal"/>
    <w:next w:val="Normal"/>
    <w:uiPriority w:val="9"/>
    <w:semiHidden/>
    <w:unhideWhenUsed/>
    <w:qFormat/>
    <w:pPr>
      <w:jc w:val="center"/>
      <w:outlineLvl w:val="1"/>
    </w:pPr>
    <w:rPr>
      <w:b/>
      <w:sz w:val="22"/>
      <w:szCs w:val="22"/>
    </w:rPr>
  </w:style>
  <w:style w:type="paragraph" w:styleId="Titre3">
    <w:name w:val="heading 3"/>
    <w:basedOn w:val="Normal"/>
    <w:next w:val="Normal"/>
    <w:uiPriority w:val="9"/>
    <w:semiHidden/>
    <w:unhideWhenUsed/>
    <w:qFormat/>
    <w:pPr>
      <w:keepNext/>
      <w:spacing w:before="240" w:after="120"/>
      <w:outlineLvl w:val="2"/>
    </w:pPr>
    <w:rPr>
      <w:b/>
      <w:sz w:val="28"/>
      <w:szCs w:val="28"/>
    </w:rPr>
  </w:style>
  <w:style w:type="paragraph" w:styleId="Titre4">
    <w:name w:val="heading 4"/>
    <w:basedOn w:val="Normal"/>
    <w:next w:val="Normal"/>
    <w:uiPriority w:val="9"/>
    <w:semiHidden/>
    <w:unhideWhenUsed/>
    <w:qFormat/>
    <w:pPr>
      <w:keepNext/>
      <w:spacing w:before="240" w:after="60"/>
      <w:outlineLvl w:val="3"/>
    </w:pPr>
    <w:rPr>
      <w:b/>
      <w:sz w:val="28"/>
      <w:szCs w:val="28"/>
    </w:rPr>
  </w:style>
  <w:style w:type="paragraph" w:styleId="Titre5">
    <w:name w:val="heading 5"/>
    <w:basedOn w:val="Normal"/>
    <w:next w:val="Normal"/>
    <w:uiPriority w:val="9"/>
    <w:semiHidden/>
    <w:unhideWhenUsed/>
    <w:qFormat/>
    <w:pPr>
      <w:spacing w:before="240" w:after="60"/>
      <w:outlineLvl w:val="4"/>
    </w:pPr>
    <w:rPr>
      <w:b/>
      <w:i/>
      <w:sz w:val="26"/>
      <w:szCs w:val="26"/>
    </w:rPr>
  </w:style>
  <w:style w:type="paragraph" w:styleId="Titre6">
    <w:name w:val="heading 6"/>
    <w:basedOn w:val="Normal"/>
    <w:next w:val="Normal"/>
    <w:uiPriority w:val="9"/>
    <w:semiHidden/>
    <w:unhideWhenUsed/>
    <w:qFormat/>
    <w:pPr>
      <w:spacing w:before="240" w:after="60"/>
      <w:outlineLvl w:val="5"/>
    </w:pPr>
    <w:rPr>
      <w:b/>
      <w:sz w:val="22"/>
      <w:szCs w:val="22"/>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itre">
    <w:name w:val="Title"/>
    <w:basedOn w:val="Normal"/>
    <w:next w:val="Normal"/>
    <w:uiPriority w:val="10"/>
    <w:qFormat/>
    <w:pPr>
      <w:spacing w:before="240" w:after="60"/>
      <w:jc w:val="center"/>
    </w:pPr>
    <w:rPr>
      <w:rFonts w:ascii="Arial" w:hAnsi="Arial" w:eastAsia="Arial" w:cs="Arial"/>
      <w:b/>
      <w:sz w:val="32"/>
      <w:szCs w:val="32"/>
    </w:rPr>
  </w:style>
  <w:style w:type="paragraph" w:styleId="Sous-titre">
    <w:name w:val="Subtitle"/>
    <w:basedOn w:val="Normal"/>
    <w:next w:val="Normal"/>
    <w:uiPriority w:val="11"/>
    <w:qFormat/>
    <w:pPr>
      <w:spacing w:after="60"/>
      <w:jc w:val="center"/>
    </w:pPr>
    <w:rPr>
      <w:rFonts w:ascii="Arial" w:hAnsi="Arial" w:eastAsia="Arial" w:cs="Arial"/>
      <w:i/>
      <w:sz w:val="28"/>
      <w:szCs w:val="28"/>
    </w:rPr>
  </w:style>
  <w:style w:type="paragraph" w:styleId="Standard" w:customStyle="1">
    <w:name w:val="Standard"/>
    <w:rsid w:val="00C67C0F"/>
    <w:pPr>
      <w:suppressAutoHyphens/>
      <w:autoSpaceDN w:val="0"/>
      <w:spacing w:after="200" w:line="276" w:lineRule="auto"/>
      <w:textAlignment w:val="baseline"/>
    </w:pPr>
    <w:rPr>
      <w:rFonts w:ascii="Arial" w:hAnsi="Arial" w:eastAsia="Arial" w:cs="Arial"/>
      <w:sz w:val="22"/>
      <w:szCs w:val="22"/>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footer" Target="footer1.xml" Id="rId9" /></Relationships>
</file>

<file path=word/_rels/footnotes.xml.rels><?xml version="1.0" encoding="UTF-8" standalone="yes"?>
<Relationships xmlns="http://schemas.openxmlformats.org/package/2006/relationships"><Relationship Id="rId3" Type="http://schemas.openxmlformats.org/officeDocument/2006/relationships/hyperlink" Target="https://pierrehazan.ch/biographie" TargetMode="External"/><Relationship Id="rId7" Type="http://schemas.openxmlformats.org/officeDocument/2006/relationships/hyperlink" Target="https://documents.un.org/error" TargetMode="External"/><Relationship Id="rId2" Type="http://schemas.openxmlformats.org/officeDocument/2006/relationships/hyperlink" Target="https://pierrehazan.ch/biographie" TargetMode="External"/><Relationship Id="rId1" Type="http://schemas.openxmlformats.org/officeDocument/2006/relationships/hyperlink" Target="https://hdcentre.org/" TargetMode="External"/><Relationship Id="rId6" Type="http://schemas.openxmlformats.org/officeDocument/2006/relationships/hyperlink" Target="https://documents.un.org/error" TargetMode="External"/><Relationship Id="rId5" Type="http://schemas.openxmlformats.org/officeDocument/2006/relationships/hyperlink" Target="https://www.ohchr.org/fr/Issues/droitsculturels/Pages/HistoricalMemorialNarratives.aspx" TargetMode="External"/><Relationship Id="rId4" Type="http://schemas.openxmlformats.org/officeDocument/2006/relationships/hyperlink" Target="https://www.ohchr.org/fr/Issues/droitsculturels/Pages/HistoricalMemorialNarrativ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05671521DD804ABE10114395213BF9" ma:contentTypeVersion="13" ma:contentTypeDescription="Crée un document." ma:contentTypeScope="" ma:versionID="23b4e005d105f6597b0d321822d0a400">
  <xsd:schema xmlns:xsd="http://www.w3.org/2001/XMLSchema" xmlns:xs="http://www.w3.org/2001/XMLSchema" xmlns:p="http://schemas.microsoft.com/office/2006/metadata/properties" xmlns:ns2="f704bcd8-5206-435b-9cfc-a84acbc4a245" xmlns:ns3="a4356261-4651-4d8a-938d-f177430a8309" targetNamespace="http://schemas.microsoft.com/office/2006/metadata/properties" ma:root="true" ma:fieldsID="a2d629cc9c3bb1f4f5ccb4b1ac19ef08" ns2:_="" ns3:_="">
    <xsd:import namespace="f704bcd8-5206-435b-9cfc-a84acbc4a245"/>
    <xsd:import namespace="a4356261-4651-4d8a-938d-f177430a830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04bcd8-5206-435b-9cfc-a84acbc4a2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bb45d193-5b42-4305-841c-4832305a613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356261-4651-4d8a-938d-f177430a8309"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704bcd8-5206-435b-9cfc-a84acbc4a24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92A8AF-A7EE-4612-9716-735D53B31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04bcd8-5206-435b-9cfc-a84acbc4a245"/>
    <ds:schemaRef ds:uri="a4356261-4651-4d8a-938d-f177430a83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38B063-25D3-4DB1-B424-A22DE67A8D12}">
  <ds:schemaRefs>
    <ds:schemaRef ds:uri="http://schemas.microsoft.com/office/2006/metadata/properties"/>
    <ds:schemaRef ds:uri="http://schemas.microsoft.com/office/infopath/2007/PartnerControls"/>
    <ds:schemaRef ds:uri="f704bcd8-5206-435b-9cfc-a84acbc4a245"/>
  </ds:schemaRefs>
</ds:datastoreItem>
</file>

<file path=customXml/itemProps3.xml><?xml version="1.0" encoding="utf-8"?>
<ds:datastoreItem xmlns:ds="http://schemas.openxmlformats.org/officeDocument/2006/customXml" ds:itemID="{F865C27B-D6B9-4D37-B6E5-CD53AF7CE6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Catherine Ruppli</lastModifiedBy>
  <revision>4</revision>
  <dcterms:created xsi:type="dcterms:W3CDTF">2025-12-08T14:44:00.0000000Z</dcterms:created>
  <dcterms:modified xsi:type="dcterms:W3CDTF">2025-12-08T14:45:29.3349494Z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0x0101005D05671521DD804ABE10114395213BF9</vt:lpwstr>
  </property>
  <property fmtid="{D5CDD505-2E9C-101B-9397-08002B2CF9AE}" pid="3" name="MediaServiceImageTags">
    <vt:lpwstr/>
  </property>
</Properties>
</file>